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Chars="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附件3</w:t>
      </w:r>
    </w:p>
    <w:p>
      <w:pPr>
        <w:widowControl/>
        <w:spacing w:line="560" w:lineRule="exact"/>
        <w:ind w:leftChars="0"/>
        <w:jc w:val="center"/>
        <w:rPr>
          <w:rFonts w:hint="eastAsia" w:ascii="宋体" w:hAnsi="宋体" w:cs="宋体"/>
          <w:color w:val="000000"/>
          <w:kern w:val="0"/>
          <w:sz w:val="44"/>
          <w:szCs w:val="44"/>
          <w:lang w:bidi="ar"/>
        </w:rPr>
      </w:pPr>
    </w:p>
    <w:p>
      <w:pPr>
        <w:ind w:leftChars="0"/>
        <w:jc w:val="center"/>
        <w:rPr>
          <w:rFonts w:hint="eastAsia" w:ascii="方正小标宋_GBK" w:hAnsi="方正小标宋简体" w:eastAsia="方正小标宋_GBK" w:cs="方正小标宋简体"/>
          <w:color w:val="000000"/>
          <w:kern w:val="0"/>
          <w:sz w:val="36"/>
          <w:szCs w:val="36"/>
          <w:lang w:bidi="ar"/>
        </w:rPr>
      </w:pPr>
      <w:r>
        <w:rPr>
          <w:rFonts w:hint="eastAsia" w:ascii="方正小标宋_GBK" w:hAnsi="方正小标宋简体" w:eastAsia="方正小标宋_GBK" w:cs="方正小标宋简体"/>
          <w:color w:val="000000"/>
          <w:kern w:val="0"/>
          <w:sz w:val="36"/>
          <w:szCs w:val="36"/>
          <w:lang w:bidi="ar"/>
        </w:rPr>
        <w:t>芜湖市惠居住房金融有限公司2023-2025年度财报及子公司经营业绩审计会计师事务所选聘评审标准</w:t>
      </w:r>
    </w:p>
    <w:p>
      <w:pPr>
        <w:widowControl/>
        <w:ind w:left="480"/>
        <w:textAlignment w:val="center"/>
        <w:rPr>
          <w:rFonts w:hint="eastAsia" w:ascii="仿宋_GB2312" w:hAnsi="仿宋_GB2312" w:eastAsia="仿宋_GB2312" w:cs="仿宋_GB2312"/>
          <w:color w:val="000000"/>
          <w:kern w:val="0"/>
          <w:szCs w:val="24"/>
          <w:lang w:bidi="ar"/>
        </w:rPr>
      </w:pP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商务标评审内容及标准（41分）</w:t>
      </w:r>
    </w:p>
    <w:tbl>
      <w:tblPr>
        <w:tblStyle w:val="2"/>
        <w:tblW w:w="8379" w:type="dxa"/>
        <w:tblInd w:w="93" w:type="dxa"/>
        <w:tblLayout w:type="fixed"/>
        <w:tblCellMar>
          <w:top w:w="0" w:type="dxa"/>
          <w:left w:w="108" w:type="dxa"/>
          <w:bottom w:w="0" w:type="dxa"/>
          <w:right w:w="108" w:type="dxa"/>
        </w:tblCellMar>
      </w:tblPr>
      <w:tblGrid>
        <w:gridCol w:w="1433"/>
        <w:gridCol w:w="850"/>
        <w:gridCol w:w="6096"/>
      </w:tblGrid>
      <w:tr>
        <w:tblPrEx>
          <w:tblCellMar>
            <w:top w:w="0" w:type="dxa"/>
            <w:left w:w="108" w:type="dxa"/>
            <w:bottom w:w="0" w:type="dxa"/>
            <w:right w:w="108" w:type="dxa"/>
          </w:tblCellMar>
        </w:tblPrEx>
        <w:trPr>
          <w:trHeight w:val="270" w:hRule="atLeast"/>
        </w:trPr>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jc w:val="center"/>
              <w:textAlignment w:val="center"/>
              <w:rPr>
                <w:rFonts w:hint="eastAsia" w:ascii="仿宋_GB2312" w:hAnsi="仿宋_GB2312" w:eastAsia="仿宋_GB2312" w:cs="仿宋_GB2312"/>
                <w:b/>
                <w:bCs/>
                <w:color w:val="000000"/>
                <w:szCs w:val="24"/>
              </w:rPr>
            </w:pPr>
            <w:r>
              <w:rPr>
                <w:rFonts w:hint="eastAsia" w:ascii="仿宋_GB2312" w:hAnsi="仿宋_GB2312" w:eastAsia="仿宋_GB2312" w:cs="仿宋_GB2312"/>
                <w:b/>
                <w:bCs/>
                <w:color w:val="000000"/>
                <w:szCs w:val="24"/>
              </w:rPr>
              <w:t>评审</w:t>
            </w:r>
          </w:p>
          <w:p>
            <w:pPr>
              <w:widowControl/>
              <w:ind w:leftChars="0"/>
              <w:jc w:val="center"/>
              <w:textAlignment w:val="center"/>
              <w:rPr>
                <w:rFonts w:hint="eastAsia" w:ascii="仿宋_GB2312" w:hAnsi="仿宋_GB2312" w:eastAsia="仿宋_GB2312" w:cs="仿宋_GB2312"/>
                <w:b/>
                <w:bCs/>
                <w:color w:val="000000"/>
                <w:szCs w:val="24"/>
              </w:rPr>
            </w:pPr>
            <w:r>
              <w:rPr>
                <w:rFonts w:hint="eastAsia" w:ascii="仿宋_GB2312" w:hAnsi="仿宋_GB2312" w:eastAsia="仿宋_GB2312" w:cs="仿宋_GB2312"/>
                <w:b/>
                <w:bCs/>
                <w:color w:val="000000"/>
                <w:szCs w:val="24"/>
              </w:rPr>
              <w:t>项目</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jc w:val="center"/>
              <w:textAlignment w:val="center"/>
              <w:rPr>
                <w:rFonts w:hint="eastAsia" w:ascii="仿宋_GB2312" w:hAnsi="仿宋_GB2312" w:eastAsia="仿宋_GB2312" w:cs="仿宋_GB2312"/>
                <w:b/>
                <w:bCs/>
                <w:color w:val="000000"/>
                <w:szCs w:val="24"/>
              </w:rPr>
            </w:pPr>
            <w:r>
              <w:rPr>
                <w:rFonts w:hint="eastAsia" w:ascii="仿宋_GB2312" w:hAnsi="仿宋_GB2312" w:eastAsia="仿宋_GB2312" w:cs="仿宋_GB2312"/>
                <w:b/>
                <w:bCs/>
                <w:color w:val="000000"/>
                <w:kern w:val="0"/>
                <w:szCs w:val="24"/>
                <w:lang w:bidi="ar"/>
              </w:rPr>
              <w:t>分值</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jc w:val="center"/>
              <w:textAlignment w:val="center"/>
              <w:rPr>
                <w:rFonts w:hint="eastAsia" w:ascii="仿宋_GB2312" w:hAnsi="仿宋_GB2312" w:eastAsia="仿宋_GB2312" w:cs="仿宋_GB2312"/>
                <w:b/>
                <w:bCs/>
                <w:color w:val="000000"/>
                <w:szCs w:val="24"/>
              </w:rPr>
            </w:pPr>
            <w:r>
              <w:rPr>
                <w:rFonts w:hint="eastAsia" w:ascii="仿宋_GB2312" w:hAnsi="仿宋_GB2312" w:eastAsia="仿宋_GB2312" w:cs="仿宋_GB2312"/>
                <w:b/>
                <w:bCs/>
                <w:color w:val="000000"/>
                <w:kern w:val="0"/>
                <w:szCs w:val="24"/>
                <w:lang w:bidi="ar"/>
              </w:rPr>
              <w:t>评审标准</w:t>
            </w:r>
          </w:p>
        </w:tc>
      </w:tr>
      <w:tr>
        <w:tblPrEx>
          <w:tblCellMar>
            <w:top w:w="0" w:type="dxa"/>
            <w:left w:w="108" w:type="dxa"/>
            <w:bottom w:w="0" w:type="dxa"/>
            <w:right w:w="108" w:type="dxa"/>
          </w:tblCellMar>
        </w:tblPrEx>
        <w:trPr>
          <w:trHeight w:val="90" w:hRule="atLeast"/>
        </w:trPr>
        <w:tc>
          <w:tcPr>
            <w:tcW w:w="1433" w:type="dxa"/>
            <w:tcBorders>
              <w:top w:val="single" w:color="000000" w:sz="4" w:space="0"/>
              <w:left w:val="single" w:color="000000" w:sz="4" w:space="0"/>
              <w:bottom w:val="single" w:color="auto" w:sz="4" w:space="0"/>
              <w:right w:val="single" w:color="000000" w:sz="4" w:space="0"/>
            </w:tcBorders>
            <w:noWrap w:val="0"/>
            <w:vAlign w:val="center"/>
          </w:tcPr>
          <w:p>
            <w:pPr>
              <w:widowControl/>
              <w:ind w:leftChars="0"/>
              <w:jc w:val="center"/>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投标</w:t>
            </w:r>
          </w:p>
          <w:p>
            <w:pPr>
              <w:widowControl/>
              <w:ind w:leftChars="0"/>
              <w:jc w:val="center"/>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报价</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jc w:val="center"/>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15分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评标基准价：通过初步评审合格的所有投标人的有效投标总报价的算术平均值。</w:t>
            </w:r>
            <w:bookmarkStart w:id="0" w:name="_GoBack"/>
            <w:bookmarkEnd w:id="0"/>
            <w:r>
              <w:rPr>
                <w:rFonts w:hint="eastAsia" w:ascii="仿宋" w:hAnsi="仿宋" w:eastAsia="仿宋" w:cs="仿宋_GB2312"/>
                <w:color w:val="000000"/>
                <w:kern w:val="0"/>
                <w:szCs w:val="24"/>
                <w:lang w:bidi="ar"/>
              </w:rPr>
              <w:br w:type="textWrapping"/>
            </w:r>
            <w:r>
              <w:rPr>
                <w:rFonts w:hint="eastAsia" w:ascii="仿宋" w:hAnsi="仿宋" w:eastAsia="仿宋" w:cs="仿宋_GB2312"/>
                <w:color w:val="000000"/>
                <w:kern w:val="0"/>
                <w:szCs w:val="24"/>
                <w:lang w:bidi="ar"/>
              </w:rPr>
              <w:t>审计费用报价得分=(1-|选聘基准价-审计费用报价|/选聘基准价 ) x15</w:t>
            </w:r>
          </w:p>
        </w:tc>
      </w:tr>
      <w:tr>
        <w:tblPrEx>
          <w:tblCellMar>
            <w:top w:w="0" w:type="dxa"/>
            <w:left w:w="108" w:type="dxa"/>
            <w:bottom w:w="0" w:type="dxa"/>
            <w:right w:w="108" w:type="dxa"/>
          </w:tblCellMar>
        </w:tblPrEx>
        <w:trPr>
          <w:trHeight w:val="1870"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ind w:leftChars="0"/>
              <w:jc w:val="center"/>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投标人业绩</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Chars="0"/>
              <w:jc w:val="center"/>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8分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满足招标人基本项目经验要求的前提下，投标人自2021年1月1日以来为芜湖市财政、芜湖市国资委、芜湖市国企提供审计服务的项目经验，每提供一个项目加2分，满分8分。</w:t>
            </w:r>
            <w:r>
              <w:rPr>
                <w:rFonts w:hint="eastAsia" w:ascii="仿宋" w:hAnsi="仿宋" w:eastAsia="仿宋" w:cs="仿宋_GB2312"/>
                <w:color w:val="000000"/>
                <w:kern w:val="0"/>
                <w:szCs w:val="24"/>
                <w:lang w:bidi="ar"/>
              </w:rPr>
              <w:br w:type="textWrapping"/>
            </w:r>
            <w:r>
              <w:rPr>
                <w:rFonts w:hint="eastAsia" w:ascii="仿宋" w:hAnsi="仿宋" w:eastAsia="仿宋" w:cs="仿宋_GB2312"/>
                <w:color w:val="000000"/>
                <w:kern w:val="0"/>
                <w:szCs w:val="24"/>
                <w:lang w:bidi="ar"/>
              </w:rPr>
              <w:t>合同以签订时间为准，能清晰反映项目名称、合同金额、合同执行时间、服务内容页及合同双方盖章等内容，提供合同复印件并加盖投标人公章。</w:t>
            </w:r>
          </w:p>
        </w:tc>
      </w:tr>
      <w:tr>
        <w:tblPrEx>
          <w:tblCellMar>
            <w:top w:w="0" w:type="dxa"/>
            <w:left w:w="108" w:type="dxa"/>
            <w:bottom w:w="0" w:type="dxa"/>
            <w:right w:w="108" w:type="dxa"/>
          </w:tblCellMar>
        </w:tblPrEx>
        <w:trPr>
          <w:trHeight w:val="1408"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ind w:leftChars="0"/>
              <w:jc w:val="center"/>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项目负责人业绩</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Chars="0"/>
              <w:jc w:val="center"/>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12分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项目负责人具有会计高级资格（或职称）的，得2分；具有10年及以上从业经验且取得注册会计师执业资格证书满5年的，得2分。</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项目负责人自2021年1月1日以来，为芜湖市财政、芜湖市国资委、芜湖市国企提供审计服务的项目经验，每提供1个项目加2分，满分8分。</w:t>
            </w:r>
            <w:r>
              <w:rPr>
                <w:rFonts w:hint="eastAsia" w:ascii="仿宋" w:hAnsi="仿宋" w:eastAsia="仿宋" w:cs="仿宋_GB2312"/>
                <w:color w:val="000000"/>
                <w:kern w:val="0"/>
                <w:szCs w:val="24"/>
                <w:lang w:bidi="ar"/>
              </w:rPr>
              <w:br w:type="textWrapping"/>
            </w:r>
            <w:r>
              <w:rPr>
                <w:rFonts w:hint="eastAsia" w:ascii="仿宋" w:hAnsi="仿宋" w:eastAsia="仿宋" w:cs="仿宋_GB2312"/>
                <w:color w:val="000000"/>
                <w:kern w:val="0"/>
                <w:szCs w:val="24"/>
                <w:lang w:bidi="ar"/>
              </w:rPr>
              <w:t>①注册会计师〈执业〉须提供有效期内的中华人民共和国注册会计师证书扫描件，中华人民共和国注册会计师证书上的工作单位须与投标人名称一致否则不予计分。</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②投标文件中须提供投标项目负责人工作年限的社保缴纳证明材料扫描件。</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③投标文件中须提供业绩的合同复印件并加盖公章(须有签字盖章页)、审计报告里披露的注册会计师签名证明材料;如不能体现以上全部内容不得分。</w:t>
            </w:r>
          </w:p>
        </w:tc>
      </w:tr>
      <w:tr>
        <w:tblPrEx>
          <w:tblCellMar>
            <w:top w:w="0" w:type="dxa"/>
            <w:left w:w="108" w:type="dxa"/>
            <w:bottom w:w="0" w:type="dxa"/>
            <w:right w:w="108" w:type="dxa"/>
          </w:tblCellMar>
        </w:tblPrEx>
        <w:trPr>
          <w:trHeight w:val="5241" w:hRule="atLeast"/>
        </w:trPr>
        <w:tc>
          <w:tcPr>
            <w:tcW w:w="1433" w:type="dxa"/>
            <w:tcBorders>
              <w:top w:val="single" w:color="auto" w:sz="4" w:space="0"/>
              <w:left w:val="single" w:color="000000" w:sz="4" w:space="0"/>
              <w:bottom w:val="single" w:color="auto" w:sz="4" w:space="0"/>
              <w:right w:val="single" w:color="000000" w:sz="4" w:space="0"/>
            </w:tcBorders>
            <w:noWrap w:val="0"/>
            <w:vAlign w:val="center"/>
          </w:tcPr>
          <w:p>
            <w:pPr>
              <w:ind w:leftChars="0"/>
              <w:jc w:val="center"/>
              <w:rPr>
                <w:rFonts w:ascii="仿宋" w:hAnsi="仿宋" w:eastAsia="仿宋" w:cs="仿宋_GB2312"/>
                <w:color w:val="000000"/>
                <w:kern w:val="0"/>
                <w:szCs w:val="24"/>
                <w:lang w:bidi="ar"/>
              </w:rPr>
            </w:pPr>
            <w:r>
              <w:rPr>
                <w:rFonts w:hint="eastAsia" w:ascii="仿宋" w:hAnsi="仿宋" w:eastAsia="仿宋"/>
                <w:kern w:val="0"/>
              </w:rPr>
              <w:t>项目组成员</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jc w:val="center"/>
              <w:textAlignment w:val="top"/>
              <w:rPr>
                <w:rFonts w:hint="eastAsia" w:ascii="仿宋" w:hAnsi="仿宋" w:eastAsia="仿宋" w:cs="仿宋_GB2312"/>
                <w:color w:val="000000"/>
                <w:kern w:val="0"/>
                <w:szCs w:val="24"/>
                <w:lang w:bidi="ar"/>
              </w:rPr>
            </w:pPr>
            <w:r>
              <w:rPr>
                <w:rFonts w:hint="eastAsia" w:ascii="仿宋" w:hAnsi="仿宋" w:eastAsia="仿宋"/>
                <w:kern w:val="0"/>
              </w:rPr>
              <w:t>6分</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 xml:space="preserve">满足招标人基本人员要求的前提下，每增加 1 名具有会计高级资格人员或者取得注册会计师执业资格证书得 2 分（项目负责人除外），同一人员不重复计分（最高得6分）。 </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 xml:space="preserve">①投标文件中须提供相关证书复印件，且满足以上要求，否则不予计分。 </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②投标文件中须提供投标人（2023 年</w:t>
            </w:r>
            <w:r>
              <w:rPr>
                <w:rFonts w:hint="eastAsia" w:ascii="仿宋" w:hAnsi="仿宋" w:eastAsia="仿宋" w:cs="仿宋_GB2312"/>
                <w:color w:val="000000"/>
                <w:kern w:val="0"/>
                <w:szCs w:val="24"/>
                <w:lang w:val="en-US" w:eastAsia="zh-CN" w:bidi="ar"/>
              </w:rPr>
              <w:t>8</w:t>
            </w:r>
            <w:r>
              <w:rPr>
                <w:rFonts w:hint="eastAsia" w:ascii="仿宋" w:hAnsi="仿宋" w:eastAsia="仿宋" w:cs="仿宋_GB2312"/>
                <w:color w:val="000000"/>
                <w:kern w:val="0"/>
                <w:szCs w:val="24"/>
                <w:lang w:bidi="ar"/>
              </w:rPr>
              <w:t xml:space="preserve">月 </w:t>
            </w:r>
            <w:r>
              <w:rPr>
                <w:rFonts w:hint="eastAsia" w:ascii="仿宋" w:hAnsi="仿宋" w:eastAsia="仿宋" w:cs="仿宋_GB2312"/>
                <w:color w:val="000000"/>
                <w:kern w:val="0"/>
                <w:szCs w:val="24"/>
                <w:lang w:val="en-US" w:eastAsia="zh-CN" w:bidi="ar"/>
              </w:rPr>
              <w:t>1</w:t>
            </w:r>
            <w:r>
              <w:rPr>
                <w:rFonts w:hint="eastAsia" w:ascii="仿宋" w:hAnsi="仿宋" w:eastAsia="仿宋" w:cs="仿宋_GB2312"/>
                <w:color w:val="000000"/>
                <w:kern w:val="0"/>
                <w:szCs w:val="24"/>
                <w:lang w:bidi="ar"/>
              </w:rPr>
              <w:t xml:space="preserve"> 日（含）以来任意一个月）为其缴纳社保的证明材料扫描件，否则不予计分。 </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③注册会计师〈执业〉须提供有效期内的中华人民共和国注册会计师证书扫描件，中华人民共和国注册会计师证书上的工作单位须与投标人名称一致否则不予计分。</w:t>
            </w:r>
          </w:p>
        </w:tc>
      </w:tr>
    </w:tbl>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技术标评审内容及标准（59分）</w:t>
      </w:r>
    </w:p>
    <w:tbl>
      <w:tblPr>
        <w:tblStyle w:val="2"/>
        <w:tblW w:w="8379" w:type="dxa"/>
        <w:tblInd w:w="93" w:type="dxa"/>
        <w:tblLayout w:type="fixed"/>
        <w:tblCellMar>
          <w:top w:w="0" w:type="dxa"/>
          <w:left w:w="108" w:type="dxa"/>
          <w:bottom w:w="0" w:type="dxa"/>
          <w:right w:w="108" w:type="dxa"/>
        </w:tblCellMar>
      </w:tblPr>
      <w:tblGrid>
        <w:gridCol w:w="1433"/>
        <w:gridCol w:w="850"/>
        <w:gridCol w:w="6096"/>
      </w:tblGrid>
      <w:tr>
        <w:tblPrEx>
          <w:tblCellMar>
            <w:top w:w="0" w:type="dxa"/>
            <w:left w:w="108" w:type="dxa"/>
            <w:bottom w:w="0" w:type="dxa"/>
            <w:right w:w="108" w:type="dxa"/>
          </w:tblCellMar>
        </w:tblPrEx>
        <w:trPr>
          <w:trHeight w:val="2913"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ind w:leftChars="0"/>
              <w:jc w:val="center"/>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工作方案</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Chars="0"/>
              <w:jc w:val="center"/>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22分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项目方案中包含年度审计的实施目标、范围、计划、程序、时间和方法等基础内容，还应包括但不限于质量保证、进度安排、项目组人员配备及稳定人员承诺服务等方面。针对服务方案内容的全面性、可操作性、最大限度的满足服务需求等方面酌情评分。优秀得15-22分，较好得8-14分，一般1-7得分。未提供不得分。</w:t>
            </w:r>
          </w:p>
        </w:tc>
      </w:tr>
      <w:tr>
        <w:tblPrEx>
          <w:tblCellMar>
            <w:top w:w="0" w:type="dxa"/>
            <w:left w:w="108" w:type="dxa"/>
            <w:bottom w:w="0" w:type="dxa"/>
            <w:right w:w="108" w:type="dxa"/>
          </w:tblCellMar>
        </w:tblPrEx>
        <w:trPr>
          <w:trHeight w:val="558"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ind w:leftChars="0"/>
              <w:jc w:val="center"/>
              <w:textAlignment w:val="top"/>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项目管理制度及质量控制方案</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Chars="0"/>
              <w:jc w:val="center"/>
              <w:textAlignment w:val="top"/>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26分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针对本项目，制定完善的项目管理制度。</w:t>
            </w:r>
          </w:p>
          <w:p>
            <w:pPr>
              <w:widowControl/>
              <w:ind w:leftChars="0"/>
              <w:jc w:val="both"/>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1.项目管理制度及质量控制方案内容全面、可行性、可操作性强的，得19-26分；</w:t>
            </w:r>
          </w:p>
          <w:p>
            <w:pPr>
              <w:widowControl/>
              <w:ind w:leftChars="0"/>
              <w:jc w:val="both"/>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2.项目管理制度及质量控制方案内容较完整、有方案要点，有一定可操作性的，得10—18分；</w:t>
            </w:r>
          </w:p>
          <w:p>
            <w:pPr>
              <w:widowControl/>
              <w:ind w:leftChars="0"/>
              <w:jc w:val="both"/>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3.项目管理制度及质量控制方案内容尚需完善，可操作性较弱的，得1—9 分；</w:t>
            </w:r>
          </w:p>
          <w:p>
            <w:pPr>
              <w:widowControl/>
              <w:ind w:leftChars="0"/>
              <w:jc w:val="both"/>
              <w:textAlignment w:val="top"/>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4.未提供项目管理制度及质量控制方案内容的，不得分。</w:t>
            </w:r>
          </w:p>
        </w:tc>
      </w:tr>
      <w:tr>
        <w:tblPrEx>
          <w:tblCellMar>
            <w:top w:w="0" w:type="dxa"/>
            <w:left w:w="108" w:type="dxa"/>
            <w:bottom w:w="0" w:type="dxa"/>
            <w:right w:w="108" w:type="dxa"/>
          </w:tblCellMar>
        </w:tblPrEx>
        <w:trPr>
          <w:trHeight w:val="2408"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ind w:leftChars="0"/>
              <w:jc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企业实力</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Chars="0"/>
              <w:jc w:val="center"/>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5分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以国家级注册会计师协会2022年发布的综合评价排名进行打分。第一至三十名得5分；第三十一至七十名得3分；第七十一至一百名得1分；一百名以后不得分。</w:t>
            </w:r>
          </w:p>
          <w:p>
            <w:pPr>
              <w:widowControl/>
              <w:ind w:leftChars="0"/>
              <w:textAlignment w:val="center"/>
              <w:rPr>
                <w:rFonts w:hint="eastAsia"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注：投标人在投标文件中需要提供中国注册会计师协会网站相关排名截图作为证明材料，如未提供本项不得分</w:t>
            </w:r>
          </w:p>
        </w:tc>
      </w:tr>
      <w:tr>
        <w:tblPrEx>
          <w:tblCellMar>
            <w:top w:w="0" w:type="dxa"/>
            <w:left w:w="108" w:type="dxa"/>
            <w:bottom w:w="0" w:type="dxa"/>
            <w:right w:w="108" w:type="dxa"/>
          </w:tblCellMar>
        </w:tblPrEx>
        <w:trPr>
          <w:trHeight w:val="2408"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ind w:leftChars="0"/>
              <w:jc w:val="center"/>
              <w:rPr>
                <w:rFonts w:ascii="仿宋_GB2312" w:hAnsi="仿宋_GB2312" w:eastAsia="仿宋_GB2312" w:cs="仿宋_GB2312"/>
                <w:color w:val="000000"/>
                <w:kern w:val="0"/>
                <w:lang w:bidi="ar"/>
              </w:rPr>
            </w:pPr>
            <w:r>
              <w:rPr>
                <w:rFonts w:hint="eastAsia" w:ascii="仿宋" w:hAnsi="仿宋" w:eastAsia="仿宋" w:cs="仿宋_GB2312"/>
                <w:color w:val="000000"/>
                <w:kern w:val="0"/>
                <w:szCs w:val="24"/>
                <w:lang w:bidi="ar"/>
              </w:rPr>
              <w:t>信息安全管理</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480"/>
              <w:jc w:val="center"/>
              <w:textAlignment w:val="center"/>
              <w:rPr>
                <w:rFonts w:hint="eastAsia" w:ascii="仿宋_GB2312" w:hAnsi="仿宋_GB2312" w:eastAsia="仿宋_GB2312" w:cs="仿宋_GB2312"/>
                <w:color w:val="000000"/>
                <w:kern w:val="0"/>
                <w:szCs w:val="24"/>
                <w:lang w:bidi="ar"/>
              </w:rPr>
            </w:pPr>
          </w:p>
          <w:p>
            <w:pPr>
              <w:widowControl/>
              <w:ind w:leftChars="0"/>
              <w:jc w:val="center"/>
              <w:textAlignment w:val="center"/>
              <w:rPr>
                <w:rFonts w:ascii="仿宋_GB2312" w:hAnsi="仿宋_GB2312" w:eastAsia="仿宋_GB2312" w:cs="仿宋_GB2312"/>
                <w:color w:val="000000"/>
                <w:kern w:val="0"/>
                <w:lang w:bidi="ar"/>
              </w:rPr>
            </w:pPr>
            <w:r>
              <w:rPr>
                <w:rFonts w:hint="eastAsia" w:ascii="仿宋_GB2312" w:hAnsi="仿宋_GB2312" w:eastAsia="仿宋_GB2312" w:cs="仿宋_GB2312"/>
                <w:color w:val="000000"/>
                <w:kern w:val="0"/>
                <w:szCs w:val="24"/>
                <w:lang w:bidi="ar"/>
              </w:rPr>
              <w:t>3分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提供建立较完善的信息安全制度并许以执行方案。内容包括但不限于(1) 资质与制度建立情况；(2) 信息安全管理人员配备情况；(3) 日常信息安全管理措施的实施；(4) 安全设备及信息安全应急预案等。</w:t>
            </w:r>
          </w:p>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1、方案内容完善、完全满足招标文件需求，得3 分；</w:t>
            </w:r>
          </w:p>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2、方案内容基本完善、能够满足招标文件需求，得 2 分；</w:t>
            </w:r>
          </w:p>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3、方案内容不完善，不能满足招标文件或未提供，得 0 分。</w:t>
            </w:r>
          </w:p>
        </w:tc>
      </w:tr>
      <w:tr>
        <w:tblPrEx>
          <w:tblCellMar>
            <w:top w:w="0" w:type="dxa"/>
            <w:left w:w="108" w:type="dxa"/>
            <w:bottom w:w="0" w:type="dxa"/>
            <w:right w:w="108" w:type="dxa"/>
          </w:tblCellMar>
        </w:tblPrEx>
        <w:trPr>
          <w:trHeight w:val="2408"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ind w:leftChars="0"/>
              <w:jc w:val="center"/>
              <w:rPr>
                <w:rFonts w:ascii="仿宋_GB2312" w:hAnsi="仿宋_GB2312" w:eastAsia="仿宋_GB2312" w:cs="仿宋_GB2312"/>
                <w:color w:val="000000"/>
                <w:kern w:val="0"/>
                <w:lang w:bidi="ar"/>
              </w:rPr>
            </w:pPr>
            <w:r>
              <w:rPr>
                <w:rFonts w:hint="eastAsia" w:ascii="仿宋" w:hAnsi="仿宋" w:eastAsia="仿宋" w:cs="仿宋_GB2312"/>
                <w:color w:val="000000"/>
                <w:kern w:val="0"/>
                <w:szCs w:val="24"/>
                <w:lang w:bidi="ar"/>
              </w:rPr>
              <w:t>风险承担能力水平</w:t>
            </w:r>
          </w:p>
        </w:tc>
        <w:tc>
          <w:tcPr>
            <w:tcW w:w="850" w:type="dxa"/>
            <w:tcBorders>
              <w:top w:val="single" w:color="000000" w:sz="4" w:space="0"/>
              <w:left w:val="single" w:color="auto" w:sz="4" w:space="0"/>
              <w:bottom w:val="single" w:color="000000" w:sz="4" w:space="0"/>
              <w:right w:val="single" w:color="000000" w:sz="4" w:space="0"/>
            </w:tcBorders>
            <w:noWrap w:val="0"/>
            <w:vAlign w:val="center"/>
          </w:tcPr>
          <w:p>
            <w:pPr>
              <w:widowControl/>
              <w:ind w:leftChars="0"/>
              <w:jc w:val="center"/>
              <w:textAlignment w:val="center"/>
              <w:rPr>
                <w:rFonts w:ascii="仿宋_GB2312" w:hAnsi="仿宋_GB2312" w:eastAsia="仿宋_GB2312" w:cs="仿宋_GB2312"/>
                <w:color w:val="000000"/>
                <w:kern w:val="0"/>
                <w:lang w:bidi="ar"/>
              </w:rPr>
            </w:pPr>
            <w:r>
              <w:rPr>
                <w:rFonts w:hint="eastAsia" w:ascii="仿宋_GB2312" w:hAnsi="仿宋_GB2312" w:eastAsia="仿宋_GB2312" w:cs="仿宋_GB2312"/>
                <w:color w:val="000000"/>
                <w:kern w:val="0"/>
                <w:szCs w:val="24"/>
                <w:lang w:bidi="ar"/>
              </w:rPr>
              <w:t>3分</w:t>
            </w:r>
          </w:p>
        </w:tc>
        <w:tc>
          <w:tcPr>
            <w:tcW w:w="6096" w:type="dxa"/>
            <w:tcBorders>
              <w:top w:val="single" w:color="000000" w:sz="4" w:space="0"/>
              <w:left w:val="single" w:color="000000" w:sz="4" w:space="0"/>
              <w:bottom w:val="single" w:color="000000" w:sz="4" w:space="0"/>
              <w:right w:val="single" w:color="000000" w:sz="4" w:space="0"/>
            </w:tcBorders>
            <w:noWrap w:val="0"/>
            <w:vAlign w:val="center"/>
          </w:tcPr>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 xml:space="preserve">根据财政部的《会计师事务所职业风险基金管理办法》第二条、 第四条规定，《会计师事务所职业责任保险暂行办法》第二章 第四条、第五条的相关规定，投标人应遵守行业规定，计提职业风险基金或购买职业责任保险。 </w:t>
            </w:r>
          </w:p>
          <w:p>
            <w:pPr>
              <w:widowControl/>
              <w:ind w:leftChars="0"/>
              <w:textAlignment w:val="center"/>
              <w:rPr>
                <w:rFonts w:ascii="仿宋" w:hAnsi="仿宋" w:eastAsia="仿宋" w:cs="仿宋_GB2312"/>
                <w:color w:val="000000"/>
                <w:kern w:val="0"/>
                <w:szCs w:val="24"/>
                <w:lang w:bidi="ar"/>
              </w:rPr>
            </w:pPr>
            <w:r>
              <w:rPr>
                <w:rFonts w:hint="eastAsia" w:ascii="仿宋" w:hAnsi="仿宋" w:eastAsia="仿宋" w:cs="仿宋_GB2312"/>
                <w:color w:val="000000"/>
                <w:kern w:val="0"/>
                <w:szCs w:val="24"/>
                <w:lang w:bidi="ar"/>
              </w:rPr>
              <w:t xml:space="preserve">1、能够满足招标文件需求，提供计提职业风险基金或购买职业责任保险证明的，得 3 分； </w:t>
            </w:r>
          </w:p>
          <w:p>
            <w:pPr>
              <w:widowControl/>
              <w:ind w:leftChars="0"/>
              <w:textAlignment w:val="center"/>
              <w:rPr>
                <w:rFonts w:ascii="仿宋_GB2312" w:hAnsi="仿宋_GB2312" w:eastAsia="仿宋_GB2312" w:cs="仿宋_GB2312"/>
                <w:color w:val="000000"/>
                <w:kern w:val="0"/>
                <w:lang w:bidi="ar"/>
              </w:rPr>
            </w:pPr>
            <w:r>
              <w:rPr>
                <w:rFonts w:hint="eastAsia" w:ascii="仿宋" w:hAnsi="仿宋" w:eastAsia="仿宋" w:cs="仿宋_GB2312"/>
                <w:color w:val="000000"/>
                <w:kern w:val="0"/>
                <w:szCs w:val="24"/>
                <w:lang w:bidi="ar"/>
              </w:rPr>
              <w:t xml:space="preserve">2、不能满足招标文件需求，未提供计提职业风险基金或购买职业责任保险证明的，得 0 分。 </w:t>
            </w:r>
          </w:p>
        </w:tc>
      </w:tr>
    </w:tbl>
    <w:p>
      <w:pPr>
        <w:jc w:val="left"/>
      </w:pPr>
      <w:r>
        <w:rPr>
          <w:rFonts w:hint="eastAsia" w:ascii="仿宋" w:hAnsi="仿宋" w:eastAsia="仿宋" w:cs="仿宋_GB2312"/>
          <w:color w:val="000000"/>
          <w:kern w:val="0"/>
          <w:szCs w:val="24"/>
          <w:lang w:bidi="ar"/>
        </w:rPr>
        <w:t>备注：数值计算结果均保留两位小数，第三位四舍五入。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80"/>
      </w:pPr>
      <w:r>
        <w:separator/>
      </w:r>
    </w:p>
  </w:endnote>
  <w:endnote w:type="continuationSeparator" w:id="1">
    <w:p>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480"/>
      </w:pPr>
      <w:r>
        <w:separator/>
      </w:r>
    </w:p>
  </w:footnote>
  <w:footnote w:type="continuationSeparator" w:id="1">
    <w:p>
      <w:pPr>
        <w:spacing w:line="360" w:lineRule="auto"/>
        <w:ind w:left="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ZTU4YmFhNDU5MzhlYzM2MzMwMmNkNjcwYWZiODAifQ=="/>
  </w:docVars>
  <w:rsids>
    <w:rsidRoot w:val="155E15EC"/>
    <w:rsid w:val="155E15EC"/>
    <w:rsid w:val="5AB3215E"/>
    <w:rsid w:val="5D74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Chars="200"/>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2024-02-27T08:01:00Z</dcterms:created>
  <dc:creator>周（zhou）</dc:creator>
  <cp:lastModifiedBy>周（zhou）</cp:lastModifiedBy>
  <dcterms:modified xsi:type="dcterms:W3CDTF">2024-02-27T08:02:57Z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58FED35E597C4DD1A46A96F9B5B60435_13</vt:lpwstr>
  </property>
</Properties>
</file>